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CC" w:rsidRPr="00804742" w:rsidRDefault="001B33A6" w:rsidP="00804742">
      <w:pPr>
        <w:pStyle w:val="31"/>
        <w:ind w:firstLine="0"/>
        <w:jc w:val="center"/>
        <w:rPr>
          <w:b/>
          <w:bCs/>
          <w:sz w:val="22"/>
          <w:szCs w:val="22"/>
        </w:rPr>
      </w:pPr>
      <w:bookmarkStart w:id="0" w:name="_GoBack"/>
      <w:bookmarkEnd w:id="0"/>
      <w:r w:rsidRPr="00804742">
        <w:rPr>
          <w:b/>
          <w:bCs/>
          <w:sz w:val="22"/>
          <w:szCs w:val="22"/>
        </w:rPr>
        <w:t>Титульний аркуш Повідомлення</w:t>
      </w:r>
    </w:p>
    <w:p w:rsidR="001B33A6" w:rsidRPr="00804742" w:rsidRDefault="001B33A6" w:rsidP="00804742">
      <w:pPr>
        <w:pStyle w:val="31"/>
        <w:ind w:firstLine="0"/>
        <w:jc w:val="center"/>
        <w:rPr>
          <w:b/>
          <w:bCs/>
          <w:sz w:val="22"/>
          <w:szCs w:val="22"/>
        </w:rPr>
      </w:pPr>
      <w:r w:rsidRPr="00804742">
        <w:rPr>
          <w:b/>
          <w:bCs/>
          <w:sz w:val="22"/>
          <w:szCs w:val="22"/>
        </w:rPr>
        <w:t xml:space="preserve">(Повідомлення про інформацію) </w:t>
      </w:r>
    </w:p>
    <w:p w:rsidR="001B33A6" w:rsidRPr="00804742" w:rsidRDefault="001B33A6" w:rsidP="00804742">
      <w:pPr>
        <w:pStyle w:val="31"/>
        <w:ind w:firstLine="0"/>
        <w:rPr>
          <w:b/>
          <w:bCs/>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tblGrid>
      <w:tr w:rsidR="00BA2213" w:rsidRPr="00804742" w:rsidTr="00BA2213">
        <w:tc>
          <w:tcPr>
            <w:tcW w:w="3510" w:type="dxa"/>
            <w:tcBorders>
              <w:bottom w:val="single" w:sz="4" w:space="0" w:color="auto"/>
            </w:tcBorders>
          </w:tcPr>
          <w:p w:rsidR="00BA2213" w:rsidRPr="00804742" w:rsidRDefault="00BA2213" w:rsidP="00804742">
            <w:pPr>
              <w:ind w:right="-5"/>
              <w:jc w:val="both"/>
              <w:rPr>
                <w:sz w:val="22"/>
                <w:szCs w:val="22"/>
              </w:rPr>
            </w:pPr>
            <w:r w:rsidRPr="00804742">
              <w:rPr>
                <w:sz w:val="22"/>
                <w:szCs w:val="22"/>
              </w:rPr>
              <w:t>16.04.2019</w:t>
            </w:r>
          </w:p>
        </w:tc>
      </w:tr>
      <w:tr w:rsidR="00BA2213" w:rsidRPr="00804742" w:rsidTr="00BA2213">
        <w:tc>
          <w:tcPr>
            <w:tcW w:w="3510" w:type="dxa"/>
            <w:tcBorders>
              <w:top w:val="single" w:sz="4" w:space="0" w:color="auto"/>
            </w:tcBorders>
          </w:tcPr>
          <w:p w:rsidR="00BA2213" w:rsidRPr="00804742" w:rsidRDefault="00BA2213" w:rsidP="00804742">
            <w:pPr>
              <w:tabs>
                <w:tab w:val="left" w:pos="5137"/>
              </w:tabs>
              <w:rPr>
                <w:sz w:val="22"/>
                <w:szCs w:val="22"/>
              </w:rPr>
            </w:pPr>
            <w:r w:rsidRPr="00804742">
              <w:rPr>
                <w:sz w:val="22"/>
                <w:szCs w:val="22"/>
              </w:rPr>
              <w:t>(дата реєстрації емітентом електронного документа)</w:t>
            </w:r>
          </w:p>
        </w:tc>
      </w:tr>
      <w:tr w:rsidR="00BA2213" w:rsidRPr="00804742" w:rsidTr="00BA2213">
        <w:tc>
          <w:tcPr>
            <w:tcW w:w="3510" w:type="dxa"/>
            <w:tcBorders>
              <w:bottom w:val="single" w:sz="4" w:space="0" w:color="auto"/>
            </w:tcBorders>
          </w:tcPr>
          <w:p w:rsidR="00BA2213" w:rsidRPr="00804742" w:rsidRDefault="00BA2213" w:rsidP="00804742">
            <w:pPr>
              <w:ind w:right="-5"/>
              <w:jc w:val="both"/>
              <w:rPr>
                <w:sz w:val="22"/>
                <w:szCs w:val="22"/>
              </w:rPr>
            </w:pPr>
            <w:r w:rsidRPr="00804742">
              <w:rPr>
                <w:sz w:val="22"/>
                <w:szCs w:val="22"/>
              </w:rPr>
              <w:t>№ 1</w:t>
            </w:r>
          </w:p>
        </w:tc>
      </w:tr>
      <w:tr w:rsidR="00BA2213" w:rsidRPr="00804742" w:rsidTr="00BA2213">
        <w:tc>
          <w:tcPr>
            <w:tcW w:w="3510" w:type="dxa"/>
            <w:tcBorders>
              <w:top w:val="single" w:sz="4" w:space="0" w:color="auto"/>
            </w:tcBorders>
          </w:tcPr>
          <w:p w:rsidR="00BA2213" w:rsidRPr="00804742" w:rsidRDefault="00BA2213" w:rsidP="00804742">
            <w:pPr>
              <w:rPr>
                <w:sz w:val="22"/>
                <w:szCs w:val="22"/>
              </w:rPr>
            </w:pPr>
            <w:r w:rsidRPr="00804742">
              <w:rPr>
                <w:sz w:val="22"/>
                <w:szCs w:val="22"/>
              </w:rPr>
              <w:t>(вихідний реєстраційний номер електронного документа)</w:t>
            </w:r>
          </w:p>
        </w:tc>
      </w:tr>
    </w:tbl>
    <w:p w:rsidR="00AE7CE9" w:rsidRPr="00804742" w:rsidRDefault="00AE7CE9" w:rsidP="00804742">
      <w:pPr>
        <w:ind w:right="3968"/>
        <w:jc w:val="both"/>
        <w:rPr>
          <w:sz w:val="22"/>
          <w:szCs w:val="22"/>
        </w:rPr>
      </w:pPr>
    </w:p>
    <w:p w:rsidR="001B33A6" w:rsidRPr="00804742" w:rsidRDefault="008A1D83" w:rsidP="00804742">
      <w:pPr>
        <w:ind w:right="-1"/>
        <w:jc w:val="both"/>
        <w:rPr>
          <w:sz w:val="22"/>
          <w:szCs w:val="22"/>
        </w:rPr>
      </w:pPr>
      <w:r w:rsidRPr="00804742">
        <w:rPr>
          <w:sz w:val="22"/>
          <w:szCs w:val="22"/>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p w:rsidR="001B33A6" w:rsidRPr="00804742" w:rsidRDefault="001B33A6" w:rsidP="00804742">
      <w:pPr>
        <w:pStyle w:val="31"/>
        <w:ind w:firstLine="0"/>
        <w:rPr>
          <w:b/>
          <w:bCs/>
          <w:sz w:val="22"/>
          <w:szCs w:val="22"/>
        </w:rPr>
      </w:pPr>
    </w:p>
    <w:tbl>
      <w:tblPr>
        <w:tblW w:w="9781" w:type="dxa"/>
        <w:tblInd w:w="108" w:type="dxa"/>
        <w:tblLayout w:type="fixed"/>
        <w:tblLook w:val="0000" w:firstRow="0" w:lastRow="0" w:firstColumn="0" w:lastColumn="0" w:noHBand="0" w:noVBand="0"/>
      </w:tblPr>
      <w:tblGrid>
        <w:gridCol w:w="3261"/>
        <w:gridCol w:w="283"/>
        <w:gridCol w:w="2268"/>
        <w:gridCol w:w="284"/>
        <w:gridCol w:w="3685"/>
      </w:tblGrid>
      <w:tr w:rsidR="001B33A6" w:rsidRPr="00804742" w:rsidTr="00BA2213">
        <w:trPr>
          <w:trHeight w:val="244"/>
        </w:trPr>
        <w:tc>
          <w:tcPr>
            <w:tcW w:w="3261" w:type="dxa"/>
            <w:tcBorders>
              <w:top w:val="nil"/>
              <w:left w:val="nil"/>
              <w:bottom w:val="single" w:sz="4" w:space="0" w:color="auto"/>
              <w:right w:val="nil"/>
            </w:tcBorders>
          </w:tcPr>
          <w:p w:rsidR="001B33A6" w:rsidRPr="00804742" w:rsidRDefault="001B33A6" w:rsidP="00804742">
            <w:pPr>
              <w:jc w:val="center"/>
              <w:rPr>
                <w:snapToGrid w:val="0"/>
                <w:sz w:val="22"/>
                <w:szCs w:val="22"/>
              </w:rPr>
            </w:pPr>
            <w:r w:rsidRPr="00804742">
              <w:rPr>
                <w:snapToGrid w:val="0"/>
                <w:sz w:val="22"/>
                <w:szCs w:val="22"/>
              </w:rPr>
              <w:t>Генеральний директор</w:t>
            </w:r>
          </w:p>
        </w:tc>
        <w:tc>
          <w:tcPr>
            <w:tcW w:w="283" w:type="dxa"/>
            <w:tcBorders>
              <w:top w:val="nil"/>
              <w:left w:val="nil"/>
              <w:bottom w:val="nil"/>
              <w:right w:val="nil"/>
            </w:tcBorders>
          </w:tcPr>
          <w:p w:rsidR="001B33A6" w:rsidRPr="00804742" w:rsidRDefault="001B33A6" w:rsidP="00804742">
            <w:pPr>
              <w:rPr>
                <w:snapToGrid w:val="0"/>
                <w:sz w:val="22"/>
                <w:szCs w:val="22"/>
              </w:rPr>
            </w:pPr>
          </w:p>
        </w:tc>
        <w:tc>
          <w:tcPr>
            <w:tcW w:w="2268" w:type="dxa"/>
            <w:tcBorders>
              <w:top w:val="nil"/>
              <w:left w:val="nil"/>
              <w:bottom w:val="single" w:sz="4" w:space="0" w:color="auto"/>
              <w:right w:val="nil"/>
            </w:tcBorders>
          </w:tcPr>
          <w:p w:rsidR="001B33A6" w:rsidRPr="00804742" w:rsidRDefault="001B33A6" w:rsidP="00804742">
            <w:pPr>
              <w:jc w:val="center"/>
              <w:rPr>
                <w:snapToGrid w:val="0"/>
                <w:sz w:val="22"/>
                <w:szCs w:val="22"/>
              </w:rPr>
            </w:pPr>
          </w:p>
        </w:tc>
        <w:tc>
          <w:tcPr>
            <w:tcW w:w="284" w:type="dxa"/>
            <w:tcBorders>
              <w:top w:val="nil"/>
              <w:left w:val="nil"/>
              <w:bottom w:val="nil"/>
              <w:right w:val="nil"/>
            </w:tcBorders>
          </w:tcPr>
          <w:p w:rsidR="001B33A6" w:rsidRPr="00804742" w:rsidRDefault="001B33A6" w:rsidP="00804742">
            <w:pPr>
              <w:rPr>
                <w:snapToGrid w:val="0"/>
                <w:sz w:val="22"/>
                <w:szCs w:val="22"/>
              </w:rPr>
            </w:pPr>
          </w:p>
        </w:tc>
        <w:tc>
          <w:tcPr>
            <w:tcW w:w="3685" w:type="dxa"/>
            <w:tcBorders>
              <w:top w:val="nil"/>
              <w:left w:val="nil"/>
              <w:bottom w:val="single" w:sz="4" w:space="0" w:color="auto"/>
              <w:right w:val="nil"/>
            </w:tcBorders>
          </w:tcPr>
          <w:p w:rsidR="001B33A6" w:rsidRPr="00804742" w:rsidRDefault="001B33A6" w:rsidP="00804742">
            <w:pPr>
              <w:jc w:val="center"/>
              <w:rPr>
                <w:snapToGrid w:val="0"/>
                <w:sz w:val="22"/>
                <w:szCs w:val="22"/>
              </w:rPr>
            </w:pPr>
            <w:r w:rsidRPr="00804742">
              <w:rPr>
                <w:snapToGrid w:val="0"/>
                <w:sz w:val="22"/>
                <w:szCs w:val="22"/>
              </w:rPr>
              <w:t>Олексів С.В.</w:t>
            </w:r>
          </w:p>
        </w:tc>
      </w:tr>
      <w:tr w:rsidR="00BA2213" w:rsidRPr="00804742" w:rsidTr="0015698C">
        <w:trPr>
          <w:cantSplit/>
          <w:trHeight w:val="379"/>
        </w:trPr>
        <w:tc>
          <w:tcPr>
            <w:tcW w:w="3261" w:type="dxa"/>
            <w:tcBorders>
              <w:top w:val="single" w:sz="4" w:space="0" w:color="auto"/>
              <w:left w:val="nil"/>
              <w:bottom w:val="nil"/>
              <w:right w:val="nil"/>
            </w:tcBorders>
          </w:tcPr>
          <w:p w:rsidR="00BA2213" w:rsidRPr="00804742" w:rsidRDefault="00BA2213" w:rsidP="00804742">
            <w:pPr>
              <w:jc w:val="center"/>
              <w:rPr>
                <w:snapToGrid w:val="0"/>
                <w:sz w:val="22"/>
                <w:szCs w:val="22"/>
              </w:rPr>
            </w:pPr>
            <w:r w:rsidRPr="00804742">
              <w:rPr>
                <w:sz w:val="22"/>
                <w:szCs w:val="22"/>
              </w:rPr>
              <w:t>(посада)</w:t>
            </w:r>
          </w:p>
        </w:tc>
        <w:tc>
          <w:tcPr>
            <w:tcW w:w="283" w:type="dxa"/>
            <w:tcBorders>
              <w:top w:val="nil"/>
              <w:left w:val="nil"/>
              <w:bottom w:val="nil"/>
              <w:right w:val="nil"/>
            </w:tcBorders>
          </w:tcPr>
          <w:p w:rsidR="00BA2213" w:rsidRPr="00804742" w:rsidRDefault="00BA2213" w:rsidP="00804742">
            <w:pPr>
              <w:jc w:val="center"/>
              <w:rPr>
                <w:snapToGrid w:val="0"/>
                <w:sz w:val="22"/>
                <w:szCs w:val="22"/>
              </w:rPr>
            </w:pPr>
          </w:p>
        </w:tc>
        <w:tc>
          <w:tcPr>
            <w:tcW w:w="2268" w:type="dxa"/>
            <w:tcBorders>
              <w:top w:val="single" w:sz="4" w:space="0" w:color="auto"/>
              <w:left w:val="nil"/>
              <w:bottom w:val="nil"/>
              <w:right w:val="nil"/>
            </w:tcBorders>
          </w:tcPr>
          <w:p w:rsidR="00BA2213" w:rsidRPr="00804742" w:rsidRDefault="00BA2213" w:rsidP="00804742">
            <w:pPr>
              <w:jc w:val="center"/>
              <w:rPr>
                <w:snapToGrid w:val="0"/>
                <w:sz w:val="22"/>
                <w:szCs w:val="22"/>
              </w:rPr>
            </w:pPr>
            <w:r w:rsidRPr="00804742">
              <w:rPr>
                <w:sz w:val="22"/>
                <w:szCs w:val="22"/>
              </w:rPr>
              <w:t>(підпис)</w:t>
            </w:r>
          </w:p>
        </w:tc>
        <w:tc>
          <w:tcPr>
            <w:tcW w:w="284" w:type="dxa"/>
            <w:tcBorders>
              <w:top w:val="nil"/>
              <w:left w:val="nil"/>
              <w:bottom w:val="nil"/>
              <w:right w:val="nil"/>
            </w:tcBorders>
          </w:tcPr>
          <w:p w:rsidR="00BA2213" w:rsidRPr="00804742" w:rsidRDefault="00BA2213" w:rsidP="00804742">
            <w:pPr>
              <w:jc w:val="center"/>
              <w:rPr>
                <w:snapToGrid w:val="0"/>
                <w:sz w:val="22"/>
                <w:szCs w:val="22"/>
              </w:rPr>
            </w:pPr>
          </w:p>
        </w:tc>
        <w:tc>
          <w:tcPr>
            <w:tcW w:w="3685" w:type="dxa"/>
            <w:tcBorders>
              <w:top w:val="single" w:sz="4" w:space="0" w:color="auto"/>
              <w:left w:val="nil"/>
              <w:right w:val="nil"/>
            </w:tcBorders>
          </w:tcPr>
          <w:p w:rsidR="00BA2213" w:rsidRPr="00804742" w:rsidRDefault="00BA2213" w:rsidP="00804742">
            <w:pPr>
              <w:jc w:val="center"/>
              <w:rPr>
                <w:snapToGrid w:val="0"/>
                <w:sz w:val="22"/>
                <w:szCs w:val="22"/>
              </w:rPr>
            </w:pPr>
            <w:r w:rsidRPr="00804742">
              <w:rPr>
                <w:sz w:val="22"/>
                <w:szCs w:val="22"/>
              </w:rPr>
              <w:t>(прізвище та ініціали керівника)</w:t>
            </w:r>
          </w:p>
        </w:tc>
      </w:tr>
      <w:tr w:rsidR="001B33A6" w:rsidRPr="00804742" w:rsidTr="00BA2213">
        <w:tblPrEx>
          <w:tblCellMar>
            <w:left w:w="30" w:type="dxa"/>
            <w:right w:w="30" w:type="dxa"/>
          </w:tblCellMar>
        </w:tblPrEx>
        <w:trPr>
          <w:trHeight w:val="532"/>
        </w:trPr>
        <w:tc>
          <w:tcPr>
            <w:tcW w:w="9781" w:type="dxa"/>
            <w:gridSpan w:val="5"/>
            <w:tcBorders>
              <w:top w:val="nil"/>
              <w:left w:val="nil"/>
              <w:bottom w:val="nil"/>
              <w:right w:val="nil"/>
            </w:tcBorders>
          </w:tcPr>
          <w:p w:rsidR="001B33A6" w:rsidRPr="00804742" w:rsidRDefault="00095537" w:rsidP="00804742">
            <w:pPr>
              <w:pStyle w:val="1"/>
              <w:rPr>
                <w:sz w:val="22"/>
                <w:szCs w:val="22"/>
              </w:rPr>
            </w:pPr>
            <w:r w:rsidRPr="00804742">
              <w:rPr>
                <w:sz w:val="22"/>
                <w:szCs w:val="22"/>
              </w:rPr>
              <w:t>Особлива інформація (інформація про іпотечні цінні папери, сертифікати фонду операцій з нерухомістю) емітента</w:t>
            </w:r>
          </w:p>
          <w:p w:rsidR="001B33A6" w:rsidRPr="00804742" w:rsidRDefault="001B33A6" w:rsidP="00804742">
            <w:pPr>
              <w:jc w:val="center"/>
              <w:rPr>
                <w:sz w:val="22"/>
                <w:szCs w:val="22"/>
              </w:rPr>
            </w:pPr>
            <w:r w:rsidRPr="00804742">
              <w:rPr>
                <w:sz w:val="22"/>
                <w:szCs w:val="22"/>
              </w:rPr>
              <w:t>(Прийняття рішення про попереднє надання згоди на вчинення значних правочинів)</w:t>
            </w:r>
          </w:p>
          <w:p w:rsidR="001B33A6" w:rsidRPr="00804742" w:rsidRDefault="001B33A6" w:rsidP="00804742">
            <w:pPr>
              <w:pStyle w:val="3"/>
              <w:spacing w:before="0" w:after="0"/>
              <w:jc w:val="center"/>
              <w:rPr>
                <w:rFonts w:ascii="Times New Roman" w:hAnsi="Times New Roman" w:cs="Times New Roman"/>
                <w:b w:val="0"/>
                <w:bCs w:val="0"/>
                <w:snapToGrid w:val="0"/>
                <w:color w:val="000000"/>
                <w:sz w:val="22"/>
                <w:szCs w:val="22"/>
              </w:rPr>
            </w:pPr>
            <w:r w:rsidRPr="00804742">
              <w:rPr>
                <w:rFonts w:ascii="Times New Roman" w:hAnsi="Times New Roman" w:cs="Times New Roman"/>
                <w:sz w:val="22"/>
                <w:szCs w:val="22"/>
              </w:rPr>
              <w:t>I. Загальні відомості</w:t>
            </w:r>
          </w:p>
        </w:tc>
      </w:tr>
    </w:tbl>
    <w:p w:rsidR="001B33A6" w:rsidRPr="00804742" w:rsidRDefault="001B33A6" w:rsidP="00804742">
      <w:pPr>
        <w:pStyle w:val="a4"/>
        <w:spacing w:before="0" w:after="0"/>
        <w:rPr>
          <w:sz w:val="22"/>
          <w:szCs w:val="22"/>
        </w:rPr>
      </w:pPr>
      <w:r w:rsidRPr="00804742">
        <w:rPr>
          <w:sz w:val="22"/>
          <w:szCs w:val="22"/>
        </w:rPr>
        <w:t>1. Повне найменування емітента: ПРИВАТНЕ АКЦІОНЕРНЕ ТОВАРИСТВО "ТЕРНОПІЛЬАВТО"</w:t>
      </w:r>
    </w:p>
    <w:p w:rsidR="001B33A6" w:rsidRPr="00804742" w:rsidRDefault="001B33A6" w:rsidP="00804742">
      <w:pPr>
        <w:pStyle w:val="a4"/>
        <w:spacing w:before="0" w:after="0"/>
        <w:rPr>
          <w:sz w:val="22"/>
          <w:szCs w:val="22"/>
        </w:rPr>
      </w:pPr>
      <w:r w:rsidRPr="00804742">
        <w:rPr>
          <w:sz w:val="22"/>
          <w:szCs w:val="22"/>
        </w:rPr>
        <w:t>2. Організаційно-правова форма: Приватне акціонерне товариство</w:t>
      </w:r>
    </w:p>
    <w:p w:rsidR="001B33A6" w:rsidRPr="00804742" w:rsidRDefault="001B33A6" w:rsidP="00804742">
      <w:pPr>
        <w:pStyle w:val="a4"/>
        <w:spacing w:before="0" w:after="0"/>
        <w:rPr>
          <w:sz w:val="22"/>
          <w:szCs w:val="22"/>
        </w:rPr>
      </w:pPr>
      <w:r w:rsidRPr="00804742">
        <w:rPr>
          <w:sz w:val="22"/>
          <w:szCs w:val="22"/>
        </w:rPr>
        <w:t>3. Місцезнаходження: 46022</w:t>
      </w:r>
      <w:r w:rsidR="000B4697" w:rsidRPr="00804742">
        <w:rPr>
          <w:sz w:val="22"/>
          <w:szCs w:val="22"/>
        </w:rPr>
        <w:t xml:space="preserve">, </w:t>
      </w:r>
      <w:proofErr w:type="spellStart"/>
      <w:r w:rsidR="000B4697" w:rsidRPr="00804742">
        <w:rPr>
          <w:sz w:val="22"/>
          <w:szCs w:val="22"/>
        </w:rPr>
        <w:t>Тернопiльська</w:t>
      </w:r>
      <w:proofErr w:type="spellEnd"/>
      <w:r w:rsidR="000B4697" w:rsidRPr="00804742">
        <w:rPr>
          <w:sz w:val="22"/>
          <w:szCs w:val="22"/>
        </w:rPr>
        <w:t>,</w:t>
      </w:r>
      <w:r w:rsidRPr="00804742">
        <w:rPr>
          <w:sz w:val="22"/>
          <w:szCs w:val="22"/>
        </w:rPr>
        <w:t xml:space="preserve"> </w:t>
      </w:r>
      <w:proofErr w:type="spellStart"/>
      <w:r w:rsidRPr="00804742">
        <w:rPr>
          <w:sz w:val="22"/>
          <w:szCs w:val="22"/>
        </w:rPr>
        <w:t>м.Тернопіль</w:t>
      </w:r>
      <w:proofErr w:type="spellEnd"/>
      <w:r w:rsidR="000B4697" w:rsidRPr="00804742">
        <w:rPr>
          <w:sz w:val="22"/>
          <w:szCs w:val="22"/>
        </w:rPr>
        <w:t>,</w:t>
      </w:r>
      <w:r w:rsidRPr="00804742">
        <w:rPr>
          <w:sz w:val="22"/>
          <w:szCs w:val="22"/>
        </w:rPr>
        <w:t xml:space="preserve"> Довженка,6</w:t>
      </w:r>
    </w:p>
    <w:p w:rsidR="001B33A6" w:rsidRPr="00804742" w:rsidRDefault="001B33A6" w:rsidP="00804742">
      <w:pPr>
        <w:pStyle w:val="a4"/>
        <w:spacing w:before="0" w:after="0"/>
        <w:rPr>
          <w:sz w:val="22"/>
          <w:szCs w:val="22"/>
        </w:rPr>
      </w:pPr>
      <w:r w:rsidRPr="00804742">
        <w:rPr>
          <w:sz w:val="22"/>
          <w:szCs w:val="22"/>
        </w:rPr>
        <w:t xml:space="preserve">4. </w:t>
      </w:r>
      <w:r w:rsidR="007A4F01" w:rsidRPr="00804742">
        <w:rPr>
          <w:sz w:val="22"/>
          <w:szCs w:val="22"/>
        </w:rPr>
        <w:t>Ідентифікаційний код юридичної особи</w:t>
      </w:r>
      <w:r w:rsidRPr="00804742">
        <w:rPr>
          <w:sz w:val="22"/>
          <w:szCs w:val="22"/>
        </w:rPr>
        <w:t>: 05441074</w:t>
      </w:r>
    </w:p>
    <w:p w:rsidR="001B33A6" w:rsidRPr="00804742" w:rsidRDefault="001B33A6" w:rsidP="00804742">
      <w:pPr>
        <w:pStyle w:val="a4"/>
        <w:spacing w:before="0" w:after="0"/>
        <w:rPr>
          <w:sz w:val="22"/>
          <w:szCs w:val="22"/>
        </w:rPr>
      </w:pPr>
      <w:r w:rsidRPr="00804742">
        <w:rPr>
          <w:sz w:val="22"/>
          <w:szCs w:val="22"/>
        </w:rPr>
        <w:t>5. Міжміський код та телефон, факс: (0352) 24-06-45 (0352)24-04-68</w:t>
      </w:r>
    </w:p>
    <w:p w:rsidR="001B33A6" w:rsidRPr="00804742" w:rsidRDefault="001B33A6" w:rsidP="00804742">
      <w:pPr>
        <w:pStyle w:val="a4"/>
        <w:spacing w:before="0" w:after="0"/>
        <w:rPr>
          <w:sz w:val="22"/>
          <w:szCs w:val="22"/>
        </w:rPr>
      </w:pPr>
      <w:r w:rsidRPr="00804742">
        <w:rPr>
          <w:sz w:val="22"/>
          <w:szCs w:val="22"/>
        </w:rPr>
        <w:t xml:space="preserve">6. </w:t>
      </w:r>
      <w:r w:rsidR="004C3CCA" w:rsidRPr="00804742">
        <w:rPr>
          <w:sz w:val="22"/>
          <w:szCs w:val="22"/>
        </w:rPr>
        <w:t>Адреса електронної пошти</w:t>
      </w:r>
      <w:r w:rsidRPr="00804742">
        <w:rPr>
          <w:sz w:val="22"/>
          <w:szCs w:val="22"/>
        </w:rPr>
        <w:t>: i.klochak@ternopilauto.te.ua</w:t>
      </w:r>
    </w:p>
    <w:p w:rsidR="000304CB" w:rsidRPr="00804742" w:rsidRDefault="000304CB" w:rsidP="00804742">
      <w:pPr>
        <w:pStyle w:val="a4"/>
        <w:spacing w:before="0" w:after="0"/>
        <w:rPr>
          <w:sz w:val="22"/>
          <w:szCs w:val="22"/>
        </w:rPr>
      </w:pPr>
      <w:r w:rsidRPr="00804742">
        <w:rPr>
          <w:sz w:val="22"/>
          <w:szCs w:val="22"/>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інфраструктури фондового ринку України», 21676262, УКРАЇНА, DR/00001/APA.</w:t>
      </w:r>
    </w:p>
    <w:p w:rsidR="00ED5BD3" w:rsidRPr="00804742" w:rsidRDefault="001B33A6" w:rsidP="00804742">
      <w:pPr>
        <w:pStyle w:val="3"/>
        <w:spacing w:before="0" w:after="0"/>
        <w:jc w:val="center"/>
        <w:rPr>
          <w:rFonts w:ascii="Times New Roman" w:hAnsi="Times New Roman" w:cs="Times New Roman"/>
          <w:sz w:val="22"/>
          <w:szCs w:val="22"/>
        </w:rPr>
      </w:pPr>
      <w:r w:rsidRPr="00804742">
        <w:rPr>
          <w:rFonts w:ascii="Times New Roman" w:hAnsi="Times New Roman" w:cs="Times New Roman"/>
          <w:sz w:val="22"/>
          <w:szCs w:val="22"/>
        </w:rPr>
        <w:t>ІІ. Дані про дату та місце оприлюднення Повідомлення</w:t>
      </w:r>
    </w:p>
    <w:p w:rsidR="001B33A6" w:rsidRPr="00804742" w:rsidRDefault="001B33A6" w:rsidP="00804742">
      <w:pPr>
        <w:pStyle w:val="3"/>
        <w:spacing w:before="0" w:after="0"/>
        <w:jc w:val="center"/>
        <w:rPr>
          <w:rFonts w:ascii="Times New Roman" w:hAnsi="Times New Roman" w:cs="Times New Roman"/>
          <w:sz w:val="22"/>
          <w:szCs w:val="22"/>
        </w:rPr>
      </w:pPr>
      <w:r w:rsidRPr="00804742">
        <w:rPr>
          <w:rFonts w:ascii="Times New Roman" w:hAnsi="Times New Roman" w:cs="Times New Roman"/>
          <w:sz w:val="22"/>
          <w:szCs w:val="22"/>
        </w:rPr>
        <w:t xml:space="preserve">(Повідомлення про інформацію) </w:t>
      </w:r>
    </w:p>
    <w:tbl>
      <w:tblPr>
        <w:tblW w:w="5000" w:type="pct"/>
        <w:tblInd w:w="107" w:type="dxa"/>
        <w:tblLook w:val="0000" w:firstRow="0" w:lastRow="0" w:firstColumn="0" w:lastColumn="0" w:noHBand="0" w:noVBand="0"/>
      </w:tblPr>
      <w:tblGrid>
        <w:gridCol w:w="3038"/>
        <w:gridCol w:w="246"/>
        <w:gridCol w:w="4551"/>
        <w:gridCol w:w="246"/>
        <w:gridCol w:w="2200"/>
      </w:tblGrid>
      <w:tr w:rsidR="00F039F4" w:rsidRPr="00804742" w:rsidTr="00F039F4">
        <w:trPr>
          <w:cantSplit/>
        </w:trPr>
        <w:tc>
          <w:tcPr>
            <w:tcW w:w="2911" w:type="dxa"/>
            <w:vMerge w:val="restart"/>
            <w:tcBorders>
              <w:top w:val="nil"/>
              <w:left w:val="nil"/>
              <w:bottom w:val="nil"/>
              <w:right w:val="nil"/>
            </w:tcBorders>
          </w:tcPr>
          <w:p w:rsidR="00F039F4" w:rsidRPr="00804742" w:rsidRDefault="00F039F4" w:rsidP="00804742">
            <w:pPr>
              <w:rPr>
                <w:sz w:val="22"/>
                <w:szCs w:val="22"/>
              </w:rPr>
            </w:pPr>
            <w:r w:rsidRPr="00804742">
              <w:rPr>
                <w:sz w:val="22"/>
                <w:szCs w:val="22"/>
              </w:rPr>
              <w:t>Повідомлення розміщено на  власному веб-сайті учасника фондового ринку</w:t>
            </w:r>
          </w:p>
        </w:tc>
        <w:tc>
          <w:tcPr>
            <w:tcW w:w="236" w:type="dxa"/>
            <w:vMerge w:val="restart"/>
            <w:tcBorders>
              <w:top w:val="nil"/>
              <w:left w:val="nil"/>
              <w:right w:val="nil"/>
            </w:tcBorders>
          </w:tcPr>
          <w:p w:rsidR="00F039F4" w:rsidRPr="00804742" w:rsidRDefault="00F039F4" w:rsidP="00804742">
            <w:pPr>
              <w:rPr>
                <w:sz w:val="22"/>
                <w:szCs w:val="22"/>
              </w:rPr>
            </w:pPr>
          </w:p>
        </w:tc>
        <w:tc>
          <w:tcPr>
            <w:tcW w:w="4362" w:type="dxa"/>
            <w:tcBorders>
              <w:top w:val="nil"/>
              <w:left w:val="nil"/>
              <w:bottom w:val="single" w:sz="4" w:space="0" w:color="auto"/>
              <w:right w:val="nil"/>
            </w:tcBorders>
          </w:tcPr>
          <w:p w:rsidR="00F039F4" w:rsidRPr="00804742" w:rsidRDefault="00804742" w:rsidP="00804742">
            <w:pPr>
              <w:rPr>
                <w:sz w:val="22"/>
                <w:szCs w:val="22"/>
              </w:rPr>
            </w:pPr>
            <w:r w:rsidRPr="00804742">
              <w:rPr>
                <w:sz w:val="22"/>
                <w:szCs w:val="22"/>
              </w:rPr>
              <w:t>http://ternopil-avto.ukravto.ua/ua</w:t>
            </w:r>
          </w:p>
        </w:tc>
        <w:tc>
          <w:tcPr>
            <w:tcW w:w="236" w:type="dxa"/>
            <w:vMerge w:val="restart"/>
            <w:tcBorders>
              <w:top w:val="nil"/>
              <w:left w:val="nil"/>
              <w:bottom w:val="nil"/>
              <w:right w:val="nil"/>
            </w:tcBorders>
          </w:tcPr>
          <w:p w:rsidR="00F039F4" w:rsidRPr="00804742" w:rsidRDefault="00F039F4" w:rsidP="00804742">
            <w:pPr>
              <w:rPr>
                <w:sz w:val="22"/>
                <w:szCs w:val="22"/>
              </w:rPr>
            </w:pPr>
          </w:p>
        </w:tc>
        <w:tc>
          <w:tcPr>
            <w:tcW w:w="2109" w:type="dxa"/>
            <w:tcBorders>
              <w:top w:val="nil"/>
              <w:left w:val="nil"/>
              <w:bottom w:val="single" w:sz="4" w:space="0" w:color="auto"/>
              <w:right w:val="nil"/>
            </w:tcBorders>
          </w:tcPr>
          <w:p w:rsidR="00F039F4" w:rsidRPr="00804742" w:rsidRDefault="00F039F4" w:rsidP="00804742">
            <w:pPr>
              <w:jc w:val="center"/>
              <w:rPr>
                <w:sz w:val="22"/>
                <w:szCs w:val="22"/>
              </w:rPr>
            </w:pPr>
            <w:r w:rsidRPr="00804742">
              <w:rPr>
                <w:sz w:val="22"/>
                <w:szCs w:val="22"/>
              </w:rPr>
              <w:t>16.04.2019</w:t>
            </w:r>
          </w:p>
        </w:tc>
      </w:tr>
      <w:tr w:rsidR="00F039F4" w:rsidRPr="00804742" w:rsidTr="00F039F4">
        <w:trPr>
          <w:cantSplit/>
        </w:trPr>
        <w:tc>
          <w:tcPr>
            <w:tcW w:w="0" w:type="auto"/>
            <w:vMerge/>
            <w:tcBorders>
              <w:top w:val="nil"/>
              <w:left w:val="nil"/>
              <w:bottom w:val="nil"/>
              <w:right w:val="nil"/>
            </w:tcBorders>
          </w:tcPr>
          <w:p w:rsidR="00F039F4" w:rsidRPr="00804742" w:rsidRDefault="00F039F4" w:rsidP="00804742">
            <w:pPr>
              <w:rPr>
                <w:sz w:val="22"/>
                <w:szCs w:val="22"/>
              </w:rPr>
            </w:pPr>
          </w:p>
        </w:tc>
        <w:tc>
          <w:tcPr>
            <w:tcW w:w="236" w:type="dxa"/>
            <w:vMerge/>
            <w:tcBorders>
              <w:left w:val="nil"/>
              <w:bottom w:val="nil"/>
              <w:right w:val="nil"/>
            </w:tcBorders>
          </w:tcPr>
          <w:p w:rsidR="00F039F4" w:rsidRPr="00804742" w:rsidRDefault="00F039F4" w:rsidP="00804742">
            <w:pPr>
              <w:jc w:val="center"/>
              <w:rPr>
                <w:sz w:val="22"/>
                <w:szCs w:val="22"/>
              </w:rPr>
            </w:pPr>
          </w:p>
        </w:tc>
        <w:tc>
          <w:tcPr>
            <w:tcW w:w="4362" w:type="dxa"/>
            <w:tcBorders>
              <w:top w:val="single" w:sz="4" w:space="0" w:color="auto"/>
              <w:left w:val="nil"/>
              <w:bottom w:val="nil"/>
              <w:right w:val="nil"/>
            </w:tcBorders>
          </w:tcPr>
          <w:p w:rsidR="00F039F4" w:rsidRPr="00804742" w:rsidRDefault="00F039F4" w:rsidP="00804742">
            <w:pPr>
              <w:jc w:val="center"/>
              <w:rPr>
                <w:sz w:val="22"/>
                <w:szCs w:val="22"/>
              </w:rPr>
            </w:pPr>
            <w:r w:rsidRPr="00804742">
              <w:rPr>
                <w:sz w:val="22"/>
                <w:szCs w:val="22"/>
              </w:rPr>
              <w:t>(адреса сторінки)</w:t>
            </w:r>
          </w:p>
        </w:tc>
        <w:tc>
          <w:tcPr>
            <w:tcW w:w="0" w:type="auto"/>
            <w:vMerge/>
            <w:tcBorders>
              <w:top w:val="nil"/>
              <w:left w:val="nil"/>
              <w:bottom w:val="nil"/>
              <w:right w:val="nil"/>
            </w:tcBorders>
          </w:tcPr>
          <w:p w:rsidR="00F039F4" w:rsidRPr="00804742" w:rsidRDefault="00F039F4" w:rsidP="00804742">
            <w:pPr>
              <w:rPr>
                <w:sz w:val="22"/>
                <w:szCs w:val="22"/>
              </w:rPr>
            </w:pPr>
          </w:p>
        </w:tc>
        <w:tc>
          <w:tcPr>
            <w:tcW w:w="2109" w:type="dxa"/>
            <w:tcBorders>
              <w:top w:val="single" w:sz="4" w:space="0" w:color="auto"/>
              <w:left w:val="nil"/>
              <w:bottom w:val="nil"/>
              <w:right w:val="nil"/>
            </w:tcBorders>
          </w:tcPr>
          <w:p w:rsidR="00F039F4" w:rsidRPr="00804742" w:rsidRDefault="00F039F4" w:rsidP="00804742">
            <w:pPr>
              <w:jc w:val="center"/>
              <w:rPr>
                <w:sz w:val="22"/>
                <w:szCs w:val="22"/>
              </w:rPr>
            </w:pPr>
            <w:r w:rsidRPr="00804742">
              <w:rPr>
                <w:sz w:val="22"/>
                <w:szCs w:val="22"/>
              </w:rPr>
              <w:t>(дата)</w:t>
            </w:r>
          </w:p>
        </w:tc>
      </w:tr>
    </w:tbl>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p>
    <w:p w:rsidR="00804742" w:rsidRPr="00804742" w:rsidRDefault="00804742" w:rsidP="00804742">
      <w:pPr>
        <w:rPr>
          <w:sz w:val="22"/>
          <w:szCs w:val="22"/>
        </w:rPr>
      </w:pPr>
      <w:r>
        <w:rPr>
          <w:sz w:val="22"/>
          <w:szCs w:val="22"/>
        </w:rPr>
        <w:br w:type="page"/>
      </w:r>
    </w:p>
    <w:p w:rsidR="00804742" w:rsidRPr="00804742" w:rsidRDefault="00804742" w:rsidP="00804742">
      <w:pPr>
        <w:pStyle w:val="3"/>
        <w:spacing w:before="0" w:after="0"/>
        <w:jc w:val="center"/>
        <w:rPr>
          <w:b w:val="0"/>
          <w:sz w:val="22"/>
          <w:szCs w:val="22"/>
        </w:rPr>
      </w:pPr>
      <w:r w:rsidRPr="00804742">
        <w:rPr>
          <w:sz w:val="22"/>
          <w:szCs w:val="22"/>
        </w:rPr>
        <w:lastRenderedPageBreak/>
        <w:t>Відомості про прийняття рішення про попереднє надання згоди на вчинення значних правочинів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80"/>
        <w:gridCol w:w="2343"/>
        <w:gridCol w:w="2254"/>
        <w:gridCol w:w="1907"/>
        <w:gridCol w:w="2397"/>
      </w:tblGrid>
      <w:tr w:rsidR="00804742" w:rsidRPr="00804742" w:rsidTr="00CF72B5">
        <w:tc>
          <w:tcPr>
            <w:tcW w:w="584" w:type="pct"/>
            <w:tcBorders>
              <w:top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 xml:space="preserve">N </w:t>
            </w:r>
            <w:r w:rsidRPr="00804742">
              <w:rPr>
                <w:sz w:val="22"/>
                <w:szCs w:val="22"/>
              </w:rPr>
              <w:br/>
              <w:t>з/п </w:t>
            </w:r>
          </w:p>
        </w:tc>
        <w:tc>
          <w:tcPr>
            <w:tcW w:w="1162"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Дата прийняття рішення</w:t>
            </w:r>
          </w:p>
        </w:tc>
        <w:tc>
          <w:tcPr>
            <w:tcW w:w="1118"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Гранична сукупна вартість правочинів</w:t>
            </w:r>
            <w:r w:rsidRPr="00804742">
              <w:rPr>
                <w:sz w:val="22"/>
                <w:szCs w:val="22"/>
              </w:rPr>
              <w:br/>
              <w:t>(тис. грн)</w:t>
            </w:r>
          </w:p>
        </w:tc>
        <w:tc>
          <w:tcPr>
            <w:tcW w:w="946"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Вартість активів емітента за даними останньої річної фінансової звітності</w:t>
            </w:r>
            <w:r w:rsidRPr="00804742">
              <w:rPr>
                <w:sz w:val="22"/>
                <w:szCs w:val="22"/>
              </w:rPr>
              <w:br/>
              <w:t>(тис. грн)</w:t>
            </w:r>
          </w:p>
        </w:tc>
        <w:tc>
          <w:tcPr>
            <w:tcW w:w="1189" w:type="pct"/>
            <w:tcBorders>
              <w:top w:val="outset" w:sz="6" w:space="0" w:color="auto"/>
              <w:left w:val="outset" w:sz="6" w:space="0" w:color="auto"/>
              <w:bottom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Співвідношення граничної сукупної вартості правочинів до вартості активів емітента за даними останньої річної фінансової звітності</w:t>
            </w:r>
            <w:r w:rsidRPr="00804742">
              <w:rPr>
                <w:sz w:val="22"/>
                <w:szCs w:val="22"/>
              </w:rPr>
              <w:br/>
              <w:t>(у відсотках)</w:t>
            </w:r>
          </w:p>
        </w:tc>
      </w:tr>
      <w:tr w:rsidR="00804742" w:rsidRPr="00804742" w:rsidTr="00CF72B5">
        <w:tc>
          <w:tcPr>
            <w:tcW w:w="584" w:type="pct"/>
            <w:tcBorders>
              <w:top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1 </w:t>
            </w:r>
          </w:p>
        </w:tc>
        <w:tc>
          <w:tcPr>
            <w:tcW w:w="1162"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2 </w:t>
            </w:r>
          </w:p>
        </w:tc>
        <w:tc>
          <w:tcPr>
            <w:tcW w:w="1118"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3 </w:t>
            </w:r>
          </w:p>
        </w:tc>
        <w:tc>
          <w:tcPr>
            <w:tcW w:w="946"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4 </w:t>
            </w:r>
          </w:p>
        </w:tc>
        <w:tc>
          <w:tcPr>
            <w:tcW w:w="1189" w:type="pct"/>
            <w:tcBorders>
              <w:top w:val="outset" w:sz="6" w:space="0" w:color="auto"/>
              <w:left w:val="outset" w:sz="6" w:space="0" w:color="auto"/>
              <w:bottom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5 </w:t>
            </w:r>
          </w:p>
        </w:tc>
      </w:tr>
      <w:tr w:rsidR="00804742" w:rsidRPr="00804742" w:rsidTr="00CF72B5">
        <w:tc>
          <w:tcPr>
            <w:tcW w:w="585" w:type="pct"/>
            <w:tcBorders>
              <w:top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1 </w:t>
            </w:r>
          </w:p>
        </w:tc>
        <w:tc>
          <w:tcPr>
            <w:tcW w:w="1162"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16.04.2019 </w:t>
            </w:r>
          </w:p>
        </w:tc>
        <w:tc>
          <w:tcPr>
            <w:tcW w:w="1118"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40000 </w:t>
            </w:r>
          </w:p>
        </w:tc>
        <w:tc>
          <w:tcPr>
            <w:tcW w:w="946"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19232 </w:t>
            </w:r>
          </w:p>
        </w:tc>
        <w:tc>
          <w:tcPr>
            <w:tcW w:w="1189" w:type="pct"/>
            <w:tcBorders>
              <w:top w:val="outset" w:sz="6" w:space="0" w:color="auto"/>
              <w:left w:val="outset" w:sz="6" w:space="0" w:color="auto"/>
              <w:bottom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207,98669</w:t>
            </w:r>
          </w:p>
        </w:tc>
      </w:tr>
      <w:tr w:rsidR="00804742" w:rsidRPr="00804742" w:rsidTr="00CF72B5">
        <w:tc>
          <w:tcPr>
            <w:tcW w:w="5000" w:type="pct"/>
            <w:gridSpan w:val="5"/>
            <w:tcBorders>
              <w:top w:val="outset" w:sz="6" w:space="0" w:color="auto"/>
              <w:bottom w:val="outset" w:sz="6" w:space="0" w:color="auto"/>
            </w:tcBorders>
            <w:vAlign w:val="center"/>
          </w:tcPr>
          <w:p w:rsidR="00804742" w:rsidRPr="00804742" w:rsidRDefault="00804742" w:rsidP="00804742">
            <w:pPr>
              <w:pStyle w:val="a4"/>
              <w:spacing w:before="0" w:after="0"/>
              <w:rPr>
                <w:sz w:val="22"/>
                <w:szCs w:val="22"/>
              </w:rPr>
            </w:pPr>
            <w:r w:rsidRPr="00804742">
              <w:rPr>
                <w:sz w:val="22"/>
                <w:szCs w:val="22"/>
              </w:rPr>
              <w:t>Зміст інформації:</w:t>
            </w:r>
          </w:p>
        </w:tc>
      </w:tr>
      <w:tr w:rsidR="00804742" w:rsidRPr="00804742" w:rsidTr="00CF72B5">
        <w:tc>
          <w:tcPr>
            <w:tcW w:w="5000" w:type="pct"/>
            <w:gridSpan w:val="5"/>
            <w:tcBorders>
              <w:top w:val="outset" w:sz="6" w:space="0" w:color="auto"/>
              <w:bottom w:val="outset" w:sz="6" w:space="0" w:color="auto"/>
            </w:tcBorders>
            <w:vAlign w:val="center"/>
          </w:tcPr>
          <w:p w:rsidR="00804742" w:rsidRPr="00804742" w:rsidRDefault="00804742" w:rsidP="00804742">
            <w:pPr>
              <w:pStyle w:val="a4"/>
              <w:spacing w:before="0" w:after="0"/>
              <w:rPr>
                <w:sz w:val="22"/>
                <w:szCs w:val="22"/>
              </w:rPr>
            </w:pPr>
            <w:r w:rsidRPr="00804742">
              <w:rPr>
                <w:sz w:val="22"/>
                <w:szCs w:val="22"/>
              </w:rPr>
              <w:t>Дата прийняття загальними зборами приватного акціонерного товариства рішення про попереднє надання згоди на вчинення значних правочинів: 16.04.2019;</w:t>
            </w:r>
          </w:p>
          <w:p w:rsidR="00804742" w:rsidRPr="00804742" w:rsidRDefault="00804742" w:rsidP="00804742">
            <w:pPr>
              <w:pStyle w:val="a4"/>
              <w:spacing w:before="0" w:after="0"/>
              <w:rPr>
                <w:sz w:val="22"/>
                <w:szCs w:val="22"/>
              </w:rPr>
            </w:pPr>
            <w:r w:rsidRPr="00804742">
              <w:rPr>
                <w:sz w:val="22"/>
                <w:szCs w:val="22"/>
              </w:rPr>
              <w:t>Відомості щодо правочинів із зазначенням, зокрема: характеру правочинів: Кредитні договори з фінансовими установами, загальний сукупний розмір яких не перевищує 40 000 000,00 грн.;</w:t>
            </w:r>
          </w:p>
          <w:p w:rsidR="00804742" w:rsidRPr="00804742" w:rsidRDefault="00804742" w:rsidP="00804742">
            <w:pPr>
              <w:pStyle w:val="a4"/>
              <w:spacing w:before="0" w:after="0"/>
              <w:rPr>
                <w:sz w:val="22"/>
                <w:szCs w:val="22"/>
              </w:rPr>
            </w:pPr>
            <w:r w:rsidRPr="00804742">
              <w:rPr>
                <w:sz w:val="22"/>
                <w:szCs w:val="22"/>
              </w:rPr>
              <w:t>Граничної сукупної вартості правочинів: 40000 тис. грн;</w:t>
            </w:r>
          </w:p>
          <w:p w:rsidR="00804742" w:rsidRPr="00804742" w:rsidRDefault="00804742" w:rsidP="00804742">
            <w:pPr>
              <w:pStyle w:val="a4"/>
              <w:spacing w:before="0" w:after="0"/>
              <w:rPr>
                <w:sz w:val="22"/>
                <w:szCs w:val="22"/>
              </w:rPr>
            </w:pPr>
            <w:r w:rsidRPr="00804742">
              <w:rPr>
                <w:sz w:val="22"/>
                <w:szCs w:val="22"/>
              </w:rPr>
              <w:t>Вартість активів емітента за даними останньої річної фінансової звітності: 19232 тис. грн;</w:t>
            </w:r>
          </w:p>
          <w:p w:rsidR="00804742" w:rsidRPr="00804742" w:rsidRDefault="00804742" w:rsidP="00804742">
            <w:pPr>
              <w:pStyle w:val="a4"/>
              <w:spacing w:before="0" w:after="0"/>
              <w:rPr>
                <w:sz w:val="22"/>
                <w:szCs w:val="22"/>
              </w:rPr>
            </w:pPr>
            <w:r w:rsidRPr="00804742">
              <w:rPr>
                <w:sz w:val="22"/>
                <w:szCs w:val="22"/>
              </w:rPr>
              <w:t>Співвідношення граничної сукупної вартості правочинів до вартості активів емітента за даними останньої річної фінансової звітності (у відсотках): 207,98669%;</w:t>
            </w:r>
          </w:p>
          <w:p w:rsidR="00804742" w:rsidRPr="00804742" w:rsidRDefault="00804742" w:rsidP="00804742">
            <w:pPr>
              <w:pStyle w:val="a4"/>
              <w:spacing w:before="0" w:after="0"/>
              <w:rPr>
                <w:sz w:val="22"/>
                <w:szCs w:val="22"/>
              </w:rPr>
            </w:pPr>
            <w:r w:rsidRPr="00804742">
              <w:rPr>
                <w:sz w:val="22"/>
                <w:szCs w:val="22"/>
              </w:rPr>
              <w:t>Загальна кількість голосуючих акцій: 556253;</w:t>
            </w:r>
          </w:p>
          <w:p w:rsidR="00804742" w:rsidRPr="00804742" w:rsidRDefault="00804742" w:rsidP="00804742">
            <w:pPr>
              <w:pStyle w:val="a4"/>
              <w:spacing w:before="0" w:after="0"/>
              <w:rPr>
                <w:sz w:val="22"/>
                <w:szCs w:val="22"/>
              </w:rPr>
            </w:pPr>
            <w:r w:rsidRPr="00804742">
              <w:rPr>
                <w:sz w:val="22"/>
                <w:szCs w:val="22"/>
              </w:rPr>
              <w:t>Кількість голосуючих акцій, що зареєстровані для участі у загальних зборах: 549531;</w:t>
            </w:r>
          </w:p>
          <w:p w:rsidR="00804742" w:rsidRPr="00804742" w:rsidRDefault="00804742" w:rsidP="00804742">
            <w:pPr>
              <w:pStyle w:val="a4"/>
              <w:spacing w:before="0" w:after="0"/>
              <w:rPr>
                <w:sz w:val="22"/>
                <w:szCs w:val="22"/>
              </w:rPr>
            </w:pPr>
            <w:r w:rsidRPr="00804742">
              <w:rPr>
                <w:sz w:val="22"/>
                <w:szCs w:val="22"/>
              </w:rPr>
              <w:t>Кількість голосуючих акцій, що проголосували "за" прийняття рішення: 549531;</w:t>
            </w:r>
          </w:p>
          <w:p w:rsidR="00804742" w:rsidRPr="00804742" w:rsidRDefault="00804742" w:rsidP="00804742">
            <w:pPr>
              <w:pStyle w:val="a4"/>
              <w:spacing w:before="0" w:after="0"/>
              <w:rPr>
                <w:sz w:val="22"/>
                <w:szCs w:val="22"/>
              </w:rPr>
            </w:pPr>
            <w:r w:rsidRPr="00804742">
              <w:rPr>
                <w:sz w:val="22"/>
                <w:szCs w:val="22"/>
              </w:rPr>
              <w:t>Кількість голосуючих акцій, що проголосували "проти" прийняття рішення: 0.</w:t>
            </w:r>
          </w:p>
        </w:tc>
      </w:tr>
      <w:tr w:rsidR="00804742" w:rsidRPr="00804742" w:rsidTr="00CF72B5">
        <w:tc>
          <w:tcPr>
            <w:tcW w:w="585" w:type="pct"/>
            <w:tcBorders>
              <w:top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2 </w:t>
            </w:r>
          </w:p>
        </w:tc>
        <w:tc>
          <w:tcPr>
            <w:tcW w:w="1162"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16.04.2019 </w:t>
            </w:r>
          </w:p>
        </w:tc>
        <w:tc>
          <w:tcPr>
            <w:tcW w:w="1118"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200000 </w:t>
            </w:r>
          </w:p>
        </w:tc>
        <w:tc>
          <w:tcPr>
            <w:tcW w:w="946"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19232 </w:t>
            </w:r>
          </w:p>
        </w:tc>
        <w:tc>
          <w:tcPr>
            <w:tcW w:w="1189" w:type="pct"/>
            <w:tcBorders>
              <w:top w:val="outset" w:sz="6" w:space="0" w:color="auto"/>
              <w:left w:val="outset" w:sz="6" w:space="0" w:color="auto"/>
              <w:bottom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1039,93344</w:t>
            </w:r>
          </w:p>
        </w:tc>
      </w:tr>
      <w:tr w:rsidR="00804742" w:rsidRPr="00804742" w:rsidTr="00CF72B5">
        <w:tc>
          <w:tcPr>
            <w:tcW w:w="5000" w:type="pct"/>
            <w:gridSpan w:val="5"/>
            <w:tcBorders>
              <w:top w:val="outset" w:sz="6" w:space="0" w:color="auto"/>
              <w:bottom w:val="outset" w:sz="6" w:space="0" w:color="auto"/>
            </w:tcBorders>
            <w:vAlign w:val="center"/>
          </w:tcPr>
          <w:p w:rsidR="00804742" w:rsidRPr="00804742" w:rsidRDefault="00804742" w:rsidP="00804742">
            <w:pPr>
              <w:pStyle w:val="a4"/>
              <w:spacing w:before="0" w:after="0"/>
              <w:rPr>
                <w:sz w:val="22"/>
                <w:szCs w:val="22"/>
              </w:rPr>
            </w:pPr>
            <w:r w:rsidRPr="00804742">
              <w:rPr>
                <w:sz w:val="22"/>
                <w:szCs w:val="22"/>
              </w:rPr>
              <w:t>Зміст інформації:</w:t>
            </w:r>
          </w:p>
        </w:tc>
      </w:tr>
      <w:tr w:rsidR="00804742" w:rsidRPr="00804742" w:rsidTr="00CF72B5">
        <w:tc>
          <w:tcPr>
            <w:tcW w:w="5000" w:type="pct"/>
            <w:gridSpan w:val="5"/>
            <w:tcBorders>
              <w:top w:val="outset" w:sz="6" w:space="0" w:color="auto"/>
              <w:bottom w:val="outset" w:sz="6" w:space="0" w:color="auto"/>
            </w:tcBorders>
            <w:vAlign w:val="center"/>
          </w:tcPr>
          <w:p w:rsidR="00804742" w:rsidRPr="00804742" w:rsidRDefault="00804742" w:rsidP="00804742">
            <w:pPr>
              <w:pStyle w:val="a4"/>
              <w:spacing w:before="0" w:after="0"/>
              <w:rPr>
                <w:sz w:val="22"/>
                <w:szCs w:val="22"/>
              </w:rPr>
            </w:pPr>
            <w:r w:rsidRPr="00804742">
              <w:rPr>
                <w:sz w:val="22"/>
                <w:szCs w:val="22"/>
              </w:rPr>
              <w:t>Дата прийняття загальними зборами приватного акціонерного товариства рішення про попереднє надання згоди на вчинення значних правочинів: 16.04.2019;</w:t>
            </w:r>
          </w:p>
          <w:p w:rsidR="00804742" w:rsidRPr="00804742" w:rsidRDefault="00804742" w:rsidP="00804742">
            <w:pPr>
              <w:pStyle w:val="a4"/>
              <w:spacing w:before="0" w:after="0"/>
              <w:rPr>
                <w:sz w:val="22"/>
                <w:szCs w:val="22"/>
              </w:rPr>
            </w:pPr>
            <w:r w:rsidRPr="00804742">
              <w:rPr>
                <w:sz w:val="22"/>
                <w:szCs w:val="22"/>
              </w:rPr>
              <w:t>Відомості щодо правочинів із зазначенням, зокрема: характеру правочинів: Договори застави (іпотеки) з фінансовими установами, у тому числі в якості майнового поручителя за зобов'язаннями третіх осіб, з ринковою вартістю майна, що передається в заставу (іпотеку) на суму, що не перевищує 200 000 000,00 грн.;</w:t>
            </w:r>
          </w:p>
          <w:p w:rsidR="00804742" w:rsidRPr="00804742" w:rsidRDefault="00804742" w:rsidP="00804742">
            <w:pPr>
              <w:pStyle w:val="a4"/>
              <w:spacing w:before="0" w:after="0"/>
              <w:rPr>
                <w:sz w:val="22"/>
                <w:szCs w:val="22"/>
              </w:rPr>
            </w:pPr>
            <w:r w:rsidRPr="00804742">
              <w:rPr>
                <w:sz w:val="22"/>
                <w:szCs w:val="22"/>
              </w:rPr>
              <w:t>Граничної сукупної вартості правочинів: 200000 тис. грн;</w:t>
            </w:r>
          </w:p>
          <w:p w:rsidR="00804742" w:rsidRPr="00804742" w:rsidRDefault="00804742" w:rsidP="00804742">
            <w:pPr>
              <w:pStyle w:val="a4"/>
              <w:spacing w:before="0" w:after="0"/>
              <w:rPr>
                <w:sz w:val="22"/>
                <w:szCs w:val="22"/>
              </w:rPr>
            </w:pPr>
            <w:r w:rsidRPr="00804742">
              <w:rPr>
                <w:sz w:val="22"/>
                <w:szCs w:val="22"/>
              </w:rPr>
              <w:t>Вартість активів емітента за даними останньої річної фінансової звітності: 19232 тис. грн;</w:t>
            </w:r>
          </w:p>
          <w:p w:rsidR="00804742" w:rsidRPr="00804742" w:rsidRDefault="00804742" w:rsidP="00804742">
            <w:pPr>
              <w:pStyle w:val="a4"/>
              <w:spacing w:before="0" w:after="0"/>
              <w:rPr>
                <w:sz w:val="22"/>
                <w:szCs w:val="22"/>
              </w:rPr>
            </w:pPr>
            <w:r w:rsidRPr="00804742">
              <w:rPr>
                <w:sz w:val="22"/>
                <w:szCs w:val="22"/>
              </w:rPr>
              <w:t>Співвідношення граничної сукупної вартості правочинів до вартості активів емітента за даними останньої річної фінансової звітності (у відсотках): 1039,93344%;</w:t>
            </w:r>
          </w:p>
          <w:p w:rsidR="00804742" w:rsidRPr="00804742" w:rsidRDefault="00804742" w:rsidP="00804742">
            <w:pPr>
              <w:pStyle w:val="a4"/>
              <w:spacing w:before="0" w:after="0"/>
              <w:rPr>
                <w:sz w:val="22"/>
                <w:szCs w:val="22"/>
              </w:rPr>
            </w:pPr>
            <w:r w:rsidRPr="00804742">
              <w:rPr>
                <w:sz w:val="22"/>
                <w:szCs w:val="22"/>
              </w:rPr>
              <w:t>Загальна кількість голосуючих акцій: 556253;</w:t>
            </w:r>
          </w:p>
          <w:p w:rsidR="00804742" w:rsidRPr="00804742" w:rsidRDefault="00804742" w:rsidP="00804742">
            <w:pPr>
              <w:pStyle w:val="a4"/>
              <w:spacing w:before="0" w:after="0"/>
              <w:rPr>
                <w:sz w:val="22"/>
                <w:szCs w:val="22"/>
              </w:rPr>
            </w:pPr>
            <w:r w:rsidRPr="00804742">
              <w:rPr>
                <w:sz w:val="22"/>
                <w:szCs w:val="22"/>
              </w:rPr>
              <w:t>Кількість голосуючих акцій, що зареєстровані для участі у загальних зборах: 549531;</w:t>
            </w:r>
          </w:p>
          <w:p w:rsidR="00804742" w:rsidRPr="00804742" w:rsidRDefault="00804742" w:rsidP="00804742">
            <w:pPr>
              <w:pStyle w:val="a4"/>
              <w:spacing w:before="0" w:after="0"/>
              <w:rPr>
                <w:sz w:val="22"/>
                <w:szCs w:val="22"/>
              </w:rPr>
            </w:pPr>
            <w:r w:rsidRPr="00804742">
              <w:rPr>
                <w:sz w:val="22"/>
                <w:szCs w:val="22"/>
              </w:rPr>
              <w:t>Кількість голосуючих акцій, що проголосували "за" прийняття рішення: 549531;</w:t>
            </w:r>
          </w:p>
          <w:p w:rsidR="00804742" w:rsidRPr="00804742" w:rsidRDefault="00804742" w:rsidP="00804742">
            <w:pPr>
              <w:pStyle w:val="a4"/>
              <w:spacing w:before="0" w:after="0"/>
              <w:rPr>
                <w:sz w:val="22"/>
                <w:szCs w:val="22"/>
              </w:rPr>
            </w:pPr>
            <w:r w:rsidRPr="00804742">
              <w:rPr>
                <w:sz w:val="22"/>
                <w:szCs w:val="22"/>
              </w:rPr>
              <w:t>Кількість голосуючих акцій, що проголосували "проти" прийняття рішення: 0.</w:t>
            </w:r>
          </w:p>
        </w:tc>
      </w:tr>
      <w:tr w:rsidR="00804742" w:rsidRPr="00804742" w:rsidTr="00CF72B5">
        <w:tc>
          <w:tcPr>
            <w:tcW w:w="585" w:type="pct"/>
            <w:tcBorders>
              <w:top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3 </w:t>
            </w:r>
          </w:p>
        </w:tc>
        <w:tc>
          <w:tcPr>
            <w:tcW w:w="1162"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16.04.2019 </w:t>
            </w:r>
          </w:p>
        </w:tc>
        <w:tc>
          <w:tcPr>
            <w:tcW w:w="1118"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100000 </w:t>
            </w:r>
          </w:p>
        </w:tc>
        <w:tc>
          <w:tcPr>
            <w:tcW w:w="946" w:type="pct"/>
            <w:tcBorders>
              <w:top w:val="outset" w:sz="6" w:space="0" w:color="auto"/>
              <w:left w:val="outset" w:sz="6" w:space="0" w:color="auto"/>
              <w:bottom w:val="outset" w:sz="6" w:space="0" w:color="auto"/>
              <w:right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19232 </w:t>
            </w:r>
          </w:p>
        </w:tc>
        <w:tc>
          <w:tcPr>
            <w:tcW w:w="1189" w:type="pct"/>
            <w:tcBorders>
              <w:top w:val="outset" w:sz="6" w:space="0" w:color="auto"/>
              <w:left w:val="outset" w:sz="6" w:space="0" w:color="auto"/>
              <w:bottom w:val="outset" w:sz="6" w:space="0" w:color="auto"/>
            </w:tcBorders>
            <w:vAlign w:val="center"/>
          </w:tcPr>
          <w:p w:rsidR="00804742" w:rsidRPr="00804742" w:rsidRDefault="00804742" w:rsidP="00804742">
            <w:pPr>
              <w:pStyle w:val="a4"/>
              <w:spacing w:before="0" w:after="0"/>
              <w:jc w:val="center"/>
              <w:rPr>
                <w:sz w:val="22"/>
                <w:szCs w:val="22"/>
              </w:rPr>
            </w:pPr>
            <w:r w:rsidRPr="00804742">
              <w:rPr>
                <w:sz w:val="22"/>
                <w:szCs w:val="22"/>
              </w:rPr>
              <w:t>519,96672</w:t>
            </w:r>
          </w:p>
        </w:tc>
      </w:tr>
      <w:tr w:rsidR="00804742" w:rsidRPr="00804742" w:rsidTr="00CF72B5">
        <w:tc>
          <w:tcPr>
            <w:tcW w:w="5000" w:type="pct"/>
            <w:gridSpan w:val="5"/>
            <w:tcBorders>
              <w:top w:val="outset" w:sz="6" w:space="0" w:color="auto"/>
              <w:bottom w:val="outset" w:sz="6" w:space="0" w:color="auto"/>
            </w:tcBorders>
            <w:vAlign w:val="center"/>
          </w:tcPr>
          <w:p w:rsidR="00804742" w:rsidRPr="00804742" w:rsidRDefault="00804742" w:rsidP="00804742">
            <w:pPr>
              <w:pStyle w:val="a4"/>
              <w:spacing w:before="0" w:after="0"/>
              <w:rPr>
                <w:sz w:val="22"/>
                <w:szCs w:val="22"/>
              </w:rPr>
            </w:pPr>
            <w:r w:rsidRPr="00804742">
              <w:rPr>
                <w:sz w:val="22"/>
                <w:szCs w:val="22"/>
              </w:rPr>
              <w:t>Зміст інформації:</w:t>
            </w:r>
          </w:p>
        </w:tc>
      </w:tr>
      <w:tr w:rsidR="00804742" w:rsidRPr="00804742" w:rsidTr="00CF72B5">
        <w:tc>
          <w:tcPr>
            <w:tcW w:w="5000" w:type="pct"/>
            <w:gridSpan w:val="5"/>
            <w:tcBorders>
              <w:top w:val="outset" w:sz="6" w:space="0" w:color="auto"/>
              <w:bottom w:val="outset" w:sz="6" w:space="0" w:color="auto"/>
            </w:tcBorders>
            <w:vAlign w:val="center"/>
          </w:tcPr>
          <w:p w:rsidR="00804742" w:rsidRPr="00804742" w:rsidRDefault="00804742" w:rsidP="00804742">
            <w:pPr>
              <w:pStyle w:val="a4"/>
              <w:spacing w:before="0" w:after="0"/>
              <w:rPr>
                <w:sz w:val="22"/>
                <w:szCs w:val="22"/>
              </w:rPr>
            </w:pPr>
            <w:r w:rsidRPr="00804742">
              <w:rPr>
                <w:sz w:val="22"/>
                <w:szCs w:val="22"/>
              </w:rPr>
              <w:t>Дата прийняття загальними зборами приватного акціонерного товариства рішення про попереднє надання згоди на вчинення значних правочинів: 16.04.2019;</w:t>
            </w:r>
          </w:p>
          <w:p w:rsidR="00804742" w:rsidRPr="00804742" w:rsidRDefault="00804742" w:rsidP="00804742">
            <w:pPr>
              <w:pStyle w:val="a4"/>
              <w:spacing w:before="0" w:after="0"/>
              <w:rPr>
                <w:sz w:val="22"/>
                <w:szCs w:val="22"/>
              </w:rPr>
            </w:pPr>
            <w:r w:rsidRPr="00804742">
              <w:rPr>
                <w:sz w:val="22"/>
                <w:szCs w:val="22"/>
              </w:rPr>
              <w:t>Відомості щодо правочинів із зазначенням, зокрема: характеру правочинів: Договори надання/отримання фінансової допомоги, загальний сукупний розмір яких не перевищує 100 000 000,00 грн.;</w:t>
            </w:r>
          </w:p>
          <w:p w:rsidR="00804742" w:rsidRPr="00804742" w:rsidRDefault="00804742" w:rsidP="00804742">
            <w:pPr>
              <w:pStyle w:val="a4"/>
              <w:spacing w:before="0" w:after="0"/>
              <w:rPr>
                <w:sz w:val="22"/>
                <w:szCs w:val="22"/>
              </w:rPr>
            </w:pPr>
            <w:r w:rsidRPr="00804742">
              <w:rPr>
                <w:sz w:val="22"/>
                <w:szCs w:val="22"/>
              </w:rPr>
              <w:t>Граничної сукупної вартості правочинів: 100000 тис. грн;</w:t>
            </w:r>
          </w:p>
          <w:p w:rsidR="00804742" w:rsidRPr="00804742" w:rsidRDefault="00804742" w:rsidP="00804742">
            <w:pPr>
              <w:pStyle w:val="a4"/>
              <w:spacing w:before="0" w:after="0"/>
              <w:rPr>
                <w:sz w:val="22"/>
                <w:szCs w:val="22"/>
              </w:rPr>
            </w:pPr>
            <w:r w:rsidRPr="00804742">
              <w:rPr>
                <w:sz w:val="22"/>
                <w:szCs w:val="22"/>
              </w:rPr>
              <w:t>Вартість активів емітента за даними останньої річної фінансової звітності: 19232 тис. грн;</w:t>
            </w:r>
          </w:p>
          <w:p w:rsidR="00804742" w:rsidRPr="00804742" w:rsidRDefault="00804742" w:rsidP="00804742">
            <w:pPr>
              <w:pStyle w:val="a4"/>
              <w:spacing w:before="0" w:after="0"/>
              <w:rPr>
                <w:sz w:val="22"/>
                <w:szCs w:val="22"/>
              </w:rPr>
            </w:pPr>
            <w:r w:rsidRPr="00804742">
              <w:rPr>
                <w:sz w:val="22"/>
                <w:szCs w:val="22"/>
              </w:rPr>
              <w:t>Співвідношення граничної сукупної вартості правочинів до вартості активів емітента за даними останньої річної фінансової звітності (у відсотках): 519,96672%;</w:t>
            </w:r>
          </w:p>
          <w:p w:rsidR="00804742" w:rsidRPr="00804742" w:rsidRDefault="00804742" w:rsidP="00804742">
            <w:pPr>
              <w:pStyle w:val="a4"/>
              <w:spacing w:before="0" w:after="0"/>
              <w:rPr>
                <w:sz w:val="22"/>
                <w:szCs w:val="22"/>
              </w:rPr>
            </w:pPr>
            <w:r w:rsidRPr="00804742">
              <w:rPr>
                <w:sz w:val="22"/>
                <w:szCs w:val="22"/>
              </w:rPr>
              <w:t>Загальна кількість голосуючих акцій:556253 ;</w:t>
            </w:r>
          </w:p>
          <w:p w:rsidR="00804742" w:rsidRPr="00804742" w:rsidRDefault="00804742" w:rsidP="00804742">
            <w:pPr>
              <w:pStyle w:val="a4"/>
              <w:spacing w:before="0" w:after="0"/>
              <w:rPr>
                <w:sz w:val="22"/>
                <w:szCs w:val="22"/>
              </w:rPr>
            </w:pPr>
            <w:r w:rsidRPr="00804742">
              <w:rPr>
                <w:sz w:val="22"/>
                <w:szCs w:val="22"/>
              </w:rPr>
              <w:t>Кількість голосуючих акцій, що зареєстровані для участі у загальних зборах: 549531;</w:t>
            </w:r>
          </w:p>
          <w:p w:rsidR="00804742" w:rsidRPr="00804742" w:rsidRDefault="00804742" w:rsidP="00804742">
            <w:pPr>
              <w:pStyle w:val="a4"/>
              <w:spacing w:before="0" w:after="0"/>
              <w:rPr>
                <w:sz w:val="22"/>
                <w:szCs w:val="22"/>
              </w:rPr>
            </w:pPr>
            <w:r w:rsidRPr="00804742">
              <w:rPr>
                <w:sz w:val="22"/>
                <w:szCs w:val="22"/>
              </w:rPr>
              <w:t>Кількість голосуючих акцій, що проголосували "за" прийняття рішення: 549531;</w:t>
            </w:r>
          </w:p>
          <w:p w:rsidR="00804742" w:rsidRPr="00804742" w:rsidRDefault="00804742" w:rsidP="00804742">
            <w:pPr>
              <w:pStyle w:val="a4"/>
              <w:spacing w:before="0" w:after="0"/>
              <w:rPr>
                <w:sz w:val="22"/>
                <w:szCs w:val="22"/>
              </w:rPr>
            </w:pPr>
            <w:r w:rsidRPr="00804742">
              <w:rPr>
                <w:sz w:val="22"/>
                <w:szCs w:val="22"/>
              </w:rPr>
              <w:t>Кількість голосуючих акцій, що проголосували "проти" прийняття рішення: 0.</w:t>
            </w:r>
          </w:p>
        </w:tc>
      </w:tr>
    </w:tbl>
    <w:p w:rsidR="00804742" w:rsidRPr="00804742" w:rsidRDefault="00804742" w:rsidP="00804742">
      <w:pPr>
        <w:rPr>
          <w:sz w:val="22"/>
          <w:szCs w:val="22"/>
        </w:rPr>
      </w:pPr>
    </w:p>
    <w:p w:rsidR="001B33A6" w:rsidRPr="00804742" w:rsidRDefault="001B33A6" w:rsidP="00804742">
      <w:pPr>
        <w:rPr>
          <w:sz w:val="22"/>
          <w:szCs w:val="22"/>
        </w:rPr>
      </w:pPr>
    </w:p>
    <w:sectPr w:rsidR="001B33A6" w:rsidRPr="00804742" w:rsidSect="00804742">
      <w:footerReference w:type="default" r:id="rId6"/>
      <w:pgSz w:w="11906" w:h="16838"/>
      <w:pgMar w:top="426" w:right="707" w:bottom="56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5E" w:rsidRDefault="00F6425E">
      <w:r>
        <w:separator/>
      </w:r>
    </w:p>
  </w:endnote>
  <w:endnote w:type="continuationSeparator" w:id="0">
    <w:p w:rsidR="00F6425E" w:rsidRDefault="00F6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A6" w:rsidRDefault="001B33A6">
    <w:pPr>
      <w:pStyle w:val="a7"/>
      <w:rPr>
        <w:lang w:val="en-US"/>
      </w:rPr>
    </w:pPr>
    <w:r>
      <w:rPr>
        <w:lang w:val="en-US"/>
      </w:rPr>
      <w:t xml:space="preserve">16.04.2019 </w:t>
    </w:r>
    <w:r>
      <w:t xml:space="preserve">р. </w:t>
    </w:r>
    <w:r>
      <w:rPr>
        <w:lang w:val="en-US"/>
      </w:rPr>
      <w:sym w:font="Symbol" w:char="F0D3"/>
    </w:r>
    <w:r>
      <w:rPr>
        <w:lang w:val="en-US"/>
      </w:rPr>
      <w:t>SMA 05441074</w:t>
    </w:r>
  </w:p>
  <w:p w:rsidR="001B33A6" w:rsidRDefault="001B33A6">
    <w:pPr>
      <w:pStyle w:val="a7"/>
      <w:rPr>
        <w:lang w:val="en-US"/>
      </w:rPr>
    </w:pPr>
  </w:p>
  <w:p w:rsidR="001B33A6" w:rsidRDefault="001B33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5E" w:rsidRDefault="00F6425E">
      <w:r>
        <w:separator/>
      </w:r>
    </w:p>
  </w:footnote>
  <w:footnote w:type="continuationSeparator" w:id="0">
    <w:p w:rsidR="00F6425E" w:rsidRDefault="00F64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F5"/>
    <w:rsid w:val="00026383"/>
    <w:rsid w:val="000304CB"/>
    <w:rsid w:val="000712B5"/>
    <w:rsid w:val="00094CF5"/>
    <w:rsid w:val="00095537"/>
    <w:rsid w:val="000B4697"/>
    <w:rsid w:val="00112698"/>
    <w:rsid w:val="0015698C"/>
    <w:rsid w:val="001B33A6"/>
    <w:rsid w:val="002A08C8"/>
    <w:rsid w:val="004C3CCA"/>
    <w:rsid w:val="0072549A"/>
    <w:rsid w:val="007A4F01"/>
    <w:rsid w:val="00804742"/>
    <w:rsid w:val="008A1A85"/>
    <w:rsid w:val="008A1D83"/>
    <w:rsid w:val="008C5848"/>
    <w:rsid w:val="00987DCF"/>
    <w:rsid w:val="00994B48"/>
    <w:rsid w:val="009F480F"/>
    <w:rsid w:val="00A30A91"/>
    <w:rsid w:val="00A668CC"/>
    <w:rsid w:val="00A8441F"/>
    <w:rsid w:val="00AA6F67"/>
    <w:rsid w:val="00AD7369"/>
    <w:rsid w:val="00AE02A0"/>
    <w:rsid w:val="00AE7CE9"/>
    <w:rsid w:val="00B55B27"/>
    <w:rsid w:val="00BA2213"/>
    <w:rsid w:val="00C30926"/>
    <w:rsid w:val="00CF72B5"/>
    <w:rsid w:val="00E4622A"/>
    <w:rsid w:val="00EC36C6"/>
    <w:rsid w:val="00ED5BD3"/>
    <w:rsid w:val="00F039F4"/>
    <w:rsid w:val="00F6425E"/>
    <w:rsid w:val="00FF3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AB9EA9-A2E5-486C-9019-71E45CB3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lang w:eastAsia="ru-RU"/>
    </w:r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outlineLvl w:val="1"/>
    </w:pPr>
    <w:rPr>
      <w:sz w:val="24"/>
      <w:szCs w:val="24"/>
    </w:rPr>
  </w:style>
  <w:style w:type="paragraph" w:styleId="3">
    <w:name w:val="heading 3"/>
    <w:basedOn w:val="a"/>
    <w:next w:val="a"/>
    <w:link w:val="30"/>
    <w:uiPriority w:val="99"/>
    <w:qFormat/>
    <w:pPr>
      <w:keepNext/>
      <w:spacing w:before="240" w:after="60"/>
      <w:outlineLvl w:val="2"/>
    </w:pPr>
    <w:rPr>
      <w:rFonts w:ascii="Cambria" w:hAnsi="Cambria" w:cs="Cambria"/>
      <w:b/>
      <w:bCs/>
      <w:sz w:val="26"/>
      <w:szCs w:val="26"/>
    </w:rPr>
  </w:style>
  <w:style w:type="paragraph" w:styleId="7">
    <w:name w:val="heading 7"/>
    <w:basedOn w:val="a"/>
    <w:next w:val="a"/>
    <w:link w:val="70"/>
    <w:uiPriority w:val="99"/>
    <w:qFormat/>
    <w:pPr>
      <w:keepNext/>
      <w:jc w:val="center"/>
      <w:outlineLvl w:val="6"/>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ru-RU"/>
    </w:rPr>
  </w:style>
  <w:style w:type="character" w:customStyle="1" w:styleId="20">
    <w:name w:val="Заголовок 2 Знак"/>
    <w:basedOn w:val="a0"/>
    <w:link w:val="2"/>
    <w:uiPriority w:val="99"/>
    <w:locked/>
    <w:rPr>
      <w:rFonts w:cs="Times New Roman"/>
      <w:b/>
      <w:bCs/>
      <w:i/>
      <w:iCs/>
      <w:sz w:val="28"/>
      <w:szCs w:val="28"/>
      <w:lang w:val="uk-UA" w:eastAsia="x-none"/>
    </w:rPr>
  </w:style>
  <w:style w:type="character" w:customStyle="1" w:styleId="30">
    <w:name w:val="Заголовок 3 Знак"/>
    <w:basedOn w:val="a0"/>
    <w:link w:val="3"/>
    <w:uiPriority w:val="99"/>
    <w:locked/>
    <w:rPr>
      <w:rFonts w:cs="Times New Roman"/>
      <w:b/>
      <w:bCs/>
      <w:sz w:val="26"/>
      <w:szCs w:val="26"/>
      <w:lang w:val="uk-UA" w:eastAsia="x-none"/>
    </w:rPr>
  </w:style>
  <w:style w:type="character" w:customStyle="1" w:styleId="70">
    <w:name w:val="Заголовок 7 Знак"/>
    <w:basedOn w:val="a0"/>
    <w:link w:val="7"/>
    <w:uiPriority w:val="99"/>
    <w:locked/>
    <w:rPr>
      <w:rFonts w:cs="Times New Roman"/>
      <w:sz w:val="24"/>
      <w:szCs w:val="24"/>
      <w:lang w:val="uk-UA" w:eastAsia="x-none"/>
    </w:rPr>
  </w:style>
  <w:style w:type="paragraph" w:customStyle="1" w:styleId="a3">
    <w:name w:val="Цитаты"/>
    <w:basedOn w:val="a"/>
    <w:uiPriority w:val="99"/>
    <w:pPr>
      <w:widowControl w:val="0"/>
      <w:spacing w:before="100" w:after="100"/>
      <w:ind w:left="360" w:right="360"/>
    </w:pPr>
    <w:rPr>
      <w:sz w:val="24"/>
      <w:szCs w:val="24"/>
      <w:lang w:val="ru-RU"/>
    </w:rPr>
  </w:style>
  <w:style w:type="paragraph" w:styleId="31">
    <w:name w:val="Body Text Indent 3"/>
    <w:basedOn w:val="a"/>
    <w:link w:val="32"/>
    <w:uiPriority w:val="99"/>
    <w:pPr>
      <w:ind w:firstLine="567"/>
      <w:jc w:val="both"/>
    </w:pPr>
    <w:rPr>
      <w:sz w:val="24"/>
      <w:szCs w:val="24"/>
    </w:rPr>
  </w:style>
  <w:style w:type="character" w:customStyle="1" w:styleId="32">
    <w:name w:val="Основной текст с отступом 3 Знак"/>
    <w:basedOn w:val="a0"/>
    <w:link w:val="31"/>
    <w:uiPriority w:val="99"/>
    <w:locked/>
    <w:rPr>
      <w:rFonts w:cs="Times New Roman"/>
      <w:sz w:val="16"/>
      <w:szCs w:val="16"/>
      <w:lang w:val="uk-UA" w:eastAsia="x-none"/>
    </w:rPr>
  </w:style>
  <w:style w:type="paragraph" w:styleId="a4">
    <w:name w:val="Normal (Web)"/>
    <w:basedOn w:val="a"/>
    <w:uiPriority w:val="99"/>
    <w:pPr>
      <w:spacing w:before="100" w:after="100"/>
    </w:pPr>
    <w:rPr>
      <w:sz w:val="24"/>
      <w:szCs w:val="24"/>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basedOn w:val="a0"/>
    <w:link w:val="a5"/>
    <w:uiPriority w:val="99"/>
    <w:locked/>
    <w:rPr>
      <w:rFonts w:cs="Times New Roman"/>
      <w:sz w:val="20"/>
      <w:szCs w:val="20"/>
      <w:lang w:val="uk-UA" w:eastAsia="x-none"/>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locked/>
    <w:rPr>
      <w:rFonts w:cs="Times New Roman"/>
      <w:sz w:val="20"/>
      <w:szCs w:val="20"/>
      <w:lang w:val="uk-UA" w:eastAsia="x-none"/>
    </w:rPr>
  </w:style>
  <w:style w:type="paragraph" w:styleId="a9">
    <w:name w:val="Balloon Text"/>
    <w:basedOn w:val="a"/>
    <w:link w:val="aa"/>
    <w:uiPriority w:val="99"/>
    <w:rPr>
      <w:rFonts w:ascii="Tahoma" w:hAnsi="Tahoma" w:cs="Tahoma"/>
      <w:sz w:val="16"/>
      <w:szCs w:val="16"/>
    </w:rPr>
  </w:style>
  <w:style w:type="character" w:customStyle="1" w:styleId="aa">
    <w:name w:val="Текст выноски Знак"/>
    <w:basedOn w:val="a0"/>
    <w:link w:val="a9"/>
    <w:uiPriority w:val="99"/>
    <w:locked/>
    <w:rPr>
      <w:rFonts w:ascii="Tahoma" w:hAnsi="Tahoma" w:cs="Tahoma"/>
      <w:sz w:val="16"/>
      <w:szCs w:val="16"/>
      <w:lang w:val="uk-UA" w:eastAsia="x-none"/>
    </w:rPr>
  </w:style>
  <w:style w:type="table" w:styleId="ab">
    <w:name w:val="Table Grid"/>
    <w:basedOn w:val="a1"/>
    <w:uiPriority w:val="99"/>
    <w:rsid w:val="00BA2213"/>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 Клочак</dc:creator>
  <cp:lastModifiedBy>Людмила Новикова</cp:lastModifiedBy>
  <cp:revision>2</cp:revision>
  <dcterms:created xsi:type="dcterms:W3CDTF">2019-04-16T13:41:00Z</dcterms:created>
  <dcterms:modified xsi:type="dcterms:W3CDTF">2019-04-16T13:41:00Z</dcterms:modified>
</cp:coreProperties>
</file>